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</w:t>
      </w:r>
      <w:r w:rsidR="00A31FBD">
        <w:rPr>
          <w:rFonts w:ascii="Verdana" w:hAnsi="Verdana" w:cs="Tahoma"/>
          <w:b/>
          <w:smallCaps/>
          <w:sz w:val="28"/>
        </w:rPr>
        <w:t>0</w:t>
      </w:r>
      <w:r w:rsidR="00F961D9">
        <w:rPr>
          <w:rFonts w:ascii="Verdana" w:hAnsi="Verdana" w:cs="Tahoma"/>
          <w:b/>
          <w:smallCaps/>
          <w:sz w:val="28"/>
        </w:rPr>
        <w:t xml:space="preserve"> LEA</w:t>
      </w:r>
      <w:bookmarkStart w:id="0" w:name="_GoBack"/>
      <w:bookmarkEnd w:id="0"/>
      <w:r w:rsidR="00F961D9">
        <w:rPr>
          <w:rFonts w:ascii="Verdana" w:hAnsi="Verdana" w:cs="Tahoma"/>
          <w:b/>
          <w:smallCaps/>
          <w:sz w:val="28"/>
        </w:rPr>
        <w:t>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>DIVERSIFICAÇÃO PARA ATIVIDADES NÃO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relevantes,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mercados)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lastRenderedPageBreak/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etc.,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Fundo de Maneio - apesar desta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devem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(FSE’s, Mão-de-obra, Encargos Financeiros,</w:t>
      </w:r>
      <w:r w:rsidR="00297A26" w:rsidRPr="00BB30F3">
        <w:rPr>
          <w:rFonts w:ascii="Helvetica" w:hAnsi="Helvetica" w:cs="Helvetica"/>
          <w:szCs w:val="20"/>
        </w:rPr>
        <w:t>amortizações,</w:t>
      </w:r>
      <w:r w:rsidRPr="00BB30F3">
        <w:rPr>
          <w:rFonts w:ascii="Helvetica" w:hAnsi="Helvetica" w:cs="Helvetica"/>
          <w:szCs w:val="20"/>
        </w:rPr>
        <w:t xml:space="preserve"> etc). </w:t>
      </w:r>
    </w:p>
    <w:p w:rsidR="00D94D24" w:rsidRPr="00D94D24" w:rsidRDefault="00D94D24" w:rsidP="00D94D24"/>
    <w:p w:rsidR="0094092C" w:rsidRDefault="0094092C" w:rsidP="0094092C"/>
    <w:p w:rsidR="00461362" w:rsidRDefault="000365DE" w:rsidP="00461362">
      <w:pPr>
        <w:pStyle w:val="Ttulo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461362"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113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A31FBD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A31FBD" w:rsidRPr="00A31FBD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C" w:rsidRPr="00F06FBC" w:rsidRDefault="00BE3B2A" w:rsidP="00BE3B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09A1240" wp14:editId="61BB0547">
          <wp:simplePos x="0" y="0"/>
          <wp:positionH relativeFrom="column">
            <wp:posOffset>1482090</wp:posOffset>
          </wp:positionH>
          <wp:positionV relativeFrom="paragraph">
            <wp:posOffset>-859155</wp:posOffset>
          </wp:positionV>
          <wp:extent cx="2425065" cy="1714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ere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06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8E4CD4" wp14:editId="5F26226D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5680" behindDoc="0" locked="0" layoutInCell="1" allowOverlap="1" wp14:anchorId="55039F64" wp14:editId="07069978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7728" behindDoc="0" locked="0" layoutInCell="1" allowOverlap="1" wp14:anchorId="233A57C7" wp14:editId="10463634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747F0"/>
    <w:rsid w:val="00184414"/>
    <w:rsid w:val="001E4661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94092C"/>
    <w:rsid w:val="00992656"/>
    <w:rsid w:val="00997F93"/>
    <w:rsid w:val="009D2C27"/>
    <w:rsid w:val="00A31FBD"/>
    <w:rsid w:val="00AB36F5"/>
    <w:rsid w:val="00B012CF"/>
    <w:rsid w:val="00B06174"/>
    <w:rsid w:val="00B672DC"/>
    <w:rsid w:val="00B771ED"/>
    <w:rsid w:val="00BB30F3"/>
    <w:rsid w:val="00BB54BA"/>
    <w:rsid w:val="00BE3B2A"/>
    <w:rsid w:val="00BF4F7D"/>
    <w:rsid w:val="00D94D24"/>
    <w:rsid w:val="00D96181"/>
    <w:rsid w:val="00DB61DF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19EED6"/>
  <w15:docId w15:val="{F73ED209-D879-46B4-921E-9662DBD2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4564-88AE-4490-B5F5-1977D317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Carlos Albano,,,</cp:lastModifiedBy>
  <cp:revision>9</cp:revision>
  <cp:lastPrinted>2016-08-09T15:50:00Z</cp:lastPrinted>
  <dcterms:created xsi:type="dcterms:W3CDTF">2016-05-05T08:59:00Z</dcterms:created>
  <dcterms:modified xsi:type="dcterms:W3CDTF">2016-08-09T16:09:00Z</dcterms:modified>
</cp:coreProperties>
</file>